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120" w:after="120"/>
        <w:ind w:firstLine="708"/>
        <w:jc w:val="center"/>
        <w:rPr>
          <w:rFonts w:ascii="Times New Roman" w:hAnsi="Times New Roman" w:eastAsia="Times New Roman" w:cs="Times New Roman"/>
          <w:b/>
          <w:b/>
          <w:color w:val="252525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b/>
          <w:color w:val="252525"/>
          <w:sz w:val="28"/>
          <w:szCs w:val="28"/>
          <w:lang w:val="fr-FR" w:eastAsia="ru-RU"/>
        </w:rPr>
        <w:t>Le </w:t>
      </w:r>
      <w:r>
        <w:rPr>
          <w:rFonts w:eastAsia="Times New Roman" w:cs="Times New Roman" w:ascii="Times New Roman" w:hAnsi="Times New Roman"/>
          <w:b/>
          <w:bCs/>
          <w:color w:val="252525"/>
          <w:sz w:val="28"/>
          <w:szCs w:val="28"/>
          <w:lang w:val="fr-FR" w:eastAsia="ru-RU"/>
        </w:rPr>
        <w:t>véhicule spatial</w:t>
      </w:r>
    </w:p>
    <w:p>
      <w:pPr>
        <w:pStyle w:val="Normal"/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b/>
          <w:b/>
          <w:color w:val="252525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b/>
          <w:color w:val="252525"/>
          <w:sz w:val="28"/>
          <w:szCs w:val="28"/>
          <w:lang w:val="fr-FR" w:eastAsia="ru-RU"/>
        </w:rPr>
      </w:r>
    </w:p>
    <w:p>
      <w:pPr>
        <w:pStyle w:val="Normal"/>
        <w:shd w:fill="FFFFFF" w:val="clear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3347085</wp:posOffset>
            </wp:positionH>
            <wp:positionV relativeFrom="paragraph">
              <wp:posOffset>654050</wp:posOffset>
            </wp:positionV>
            <wp:extent cx="2666365" cy="2580640"/>
            <wp:effectExtent l="0" t="0" r="0" b="0"/>
            <wp:wrapTight wrapText="bothSides">
              <wp:wrapPolygon edited="0">
                <wp:start x="-77" y="0"/>
                <wp:lineTo x="-77" y="21438"/>
                <wp:lineTo x="21600" y="21438"/>
                <wp:lineTo x="21600" y="0"/>
                <wp:lineTo x="-77" y="0"/>
              </wp:wrapPolygon>
            </wp:wrapTight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L</w:t>
      </w: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e </w:t>
      </w:r>
      <w:r>
        <w:rPr>
          <w:rFonts w:eastAsia="Times New Roman" w:cs="Times New Roman" w:ascii="Times New Roman" w:hAnsi="Times New Roman"/>
          <w:bCs/>
          <w:color w:val="252525"/>
          <w:sz w:val="28"/>
          <w:szCs w:val="28"/>
          <w:lang w:val="fr-FR" w:eastAsia="ru-RU"/>
        </w:rPr>
        <w:t>véhicule spatial c'est</w:t>
      </w: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 un véhicule qui permet de se déplacer dans l'espace. Un véhicule spatial peut être habité ou inhabité. Les véhicules spatiaux peuvent accomplir une variété de missions:</w:t>
      </w:r>
    </w:p>
    <w:p>
      <w:pPr>
        <w:pStyle w:val="Normal"/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color w:val="25252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des communications;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/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l'observation de la </w:t>
      </w:r>
      <w:hyperlink r:id="rId3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val="fr-FR" w:eastAsia="ru-RU"/>
          </w:rPr>
          <w:t>Terre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 xml:space="preserve">la météorologie; 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 xml:space="preserve">la navigation; 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 xml:space="preserve">l'exploration planétaire; 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le tourisme spatial;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 w:before="120" w:after="120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 xml:space="preserve">des missions à caractère militaire. </w:t>
      </w:r>
    </w:p>
    <w:p>
      <w:pPr>
        <w:pStyle w:val="Style21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fr-FR" w:eastAsia="ru-RU"/>
        </w:rPr>
      </w:pPr>
      <w:r>
        <w:rPr>
          <w:rFonts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 w:eastAsia="ru-RU"/>
        </w:rPr>
        <w:t xml:space="preserve">On appelle souvent ces véhicules spatiaux les 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  <w:lang w:val="fr-FR" w:eastAsia="ru-RU"/>
          </w:rPr>
          <w:t>vaisseaux spatiaux</w:t>
        </w:r>
      </w:hyperlink>
      <w:r>
        <w:rPr>
          <w:rFonts w:cs="Times New Roman" w:ascii="Times New Roman" w:hAnsi="Times New Roman"/>
          <w:sz w:val="28"/>
          <w:szCs w:val="28"/>
          <w:lang w:val="fr-FR" w:eastAsia="ru-RU"/>
        </w:rPr>
        <w:t xml:space="preserve"> (le vaisseau spatial).</w:t>
      </w:r>
    </w:p>
    <w:p>
      <w:pPr>
        <w:pStyle w:val="Normal"/>
        <w:shd w:fill="FFFFFF" w:val="clear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 xml:space="preserve">En général, le vaisseau est adapté aux  besoins d'un équipage et </w:t>
      </w: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aux missions.</w:t>
      </w:r>
    </w:p>
    <w:p>
      <w:pPr>
        <w:pStyle w:val="Normal"/>
        <w:shd w:fill="FFFFFF" w:val="clear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color w:val="252525"/>
          <w:sz w:val="28"/>
          <w:szCs w:val="28"/>
          <w:lang w:val="fr-FR" w:eastAsia="ru-RU"/>
        </w:rPr>
        <w:t>On peut diviser les véhicules spatiaux en cathégories suivantes: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280" w:after="24"/>
        <w:ind w:left="384" w:hanging="360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Les </w:t>
      </w:r>
      <w:hyperlink r:id="rId5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satellites artificiels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00"/>
        <w:ind w:left="384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Les </w:t>
      </w:r>
      <w:hyperlink r:id="rId6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fusées spatiales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00"/>
        <w:ind w:left="384" w:hanging="360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Les </w:t>
      </w:r>
      <w:hyperlink r:id="rId7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sondes spatiales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00"/>
        <w:ind w:left="384" w:hanging="360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Les </w:t>
      </w:r>
      <w:hyperlink r:id="rId8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capsules spatiales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00"/>
        <w:ind w:left="384" w:hanging="360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Les </w:t>
      </w:r>
      <w:hyperlink r:id="rId9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navettes spatiales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00"/>
        <w:ind w:left="384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Les </w:t>
      </w:r>
      <w:hyperlink r:id="rId10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stations spatiales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280"/>
        <w:ind w:left="384" w:hanging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  <w:t>Les stations orbitales.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val="fr-FR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fr-FR" w:eastAsia="ru-RU"/>
        </w:rPr>
      </w:r>
    </w:p>
    <w:p>
      <w:pPr>
        <w:pStyle w:val="Normal"/>
        <w:widowControl/>
        <w:bidi w:val="0"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Источник: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11">
        <w:r>
          <w:rPr>
            <w:rStyle w:val="Style15"/>
            <w:rFonts w:eastAsia="Times New Roman" w:cs="Times New Roman" w:ascii="Times New Roman" w:hAnsi="Times New Roman"/>
            <w:sz w:val="28"/>
            <w:szCs w:val="28"/>
            <w:lang w:eastAsia="ru-RU"/>
          </w:rPr>
          <w:t>https://fr.wikipedia.org/wiki/V%C3%A9hicule_spatial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implified Arabic Fixed">
    <w:altName w:val="Courier New"/>
    <w:charset w:val="00"/>
    <w:family w:val="modern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1500" w:hanging="360"/>
      </w:pPr>
      <w:rPr>
        <w:rFonts w:ascii="Simplified Arabic Fixed" w:hAnsi="Simplified Arabic Fixed" w:cs="Simplified Arabic Fixed" w:hint="default"/>
        <w:sz w:val="28"/>
        <w:szCs w:val="28"/>
        <w:rFonts w:cs="Simplified Arabic Fixed;Courier New"/>
        <w:lang w:val="fr-FR" w:eastAsia="ru-RU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rFonts w:cs="Symbol"/>
        <w:lang w:eastAsia="ru-RU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implified Arabic Fixed;Courier New" w:hAnsi="Simplified Arabic Fixed;Courier New" w:eastAsia="Times New Roman" w:cs="Simplified Arabic Fixed;Courier New"/>
      <w:sz w:val="28"/>
      <w:szCs w:val="28"/>
      <w:lang w:val="fr-FR" w:eastAsia="ru-RU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Symbol"/>
      <w:sz w:val="20"/>
      <w:szCs w:val="28"/>
      <w:lang w:eastAsia="ru-RU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563C1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r.wikipedia.org/wiki/Terre" TargetMode="External"/><Relationship Id="rId4" Type="http://schemas.openxmlformats.org/officeDocument/2006/relationships/hyperlink" Target="https://fr.wikipedia.org/wiki/Vaisseau_spatial" TargetMode="External"/><Relationship Id="rId5" Type="http://schemas.openxmlformats.org/officeDocument/2006/relationships/hyperlink" Target="https://fr.wikipedia.org/wiki/Satellite_artificiel" TargetMode="External"/><Relationship Id="rId6" Type="http://schemas.openxmlformats.org/officeDocument/2006/relationships/hyperlink" Target="https://fr.wikipedia.org/wiki/Fus&#233;e_spatiale" TargetMode="External"/><Relationship Id="rId7" Type="http://schemas.openxmlformats.org/officeDocument/2006/relationships/hyperlink" Target="https://fr.wikipedia.org/wiki/Sonde_spatiale" TargetMode="External"/><Relationship Id="rId8" Type="http://schemas.openxmlformats.org/officeDocument/2006/relationships/hyperlink" Target="https://fr.wikipedia.org/wiki/Capsule_spatiale" TargetMode="External"/><Relationship Id="rId9" Type="http://schemas.openxmlformats.org/officeDocument/2006/relationships/hyperlink" Target="https://fr.wikipedia.org/wiki/Navette_spatiale" TargetMode="External"/><Relationship Id="rId10" Type="http://schemas.openxmlformats.org/officeDocument/2006/relationships/hyperlink" Target="https://fr.wikipedia.org/wiki/Station_spatiale" TargetMode="External"/><Relationship Id="rId11" Type="http://schemas.openxmlformats.org/officeDocument/2006/relationships/hyperlink" Target="https://fr.wikipedia.org/wiki/V&#233;hicule_spatial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2</Pages>
  <Words>124</Words>
  <Characters>743</Characters>
  <CharactersWithSpaces>838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2019-04-13T23:29:00Z</dcterms:created>
  <dc:creator>Ольга Н. Сазыкина</dc:creator>
  <dc:description/>
  <dc:language>ru-RU</dc:language>
  <cp:lastModifiedBy>Полина Борисовна Скойбеда</cp:lastModifiedBy>
  <dcterms:modified xsi:type="dcterms:W3CDTF">2019-05-30T10:21:00Z</dcterms:modified>
  <cp:revision>6</cp:revision>
  <dc:subject/>
  <dc:title/>
</cp:coreProperties>
</file>