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Web"/>
        <w:spacing w:lineRule="auto" w:line="360" w:before="0" w:after="0"/>
        <w:jc w:val="center"/>
        <w:rPr>
          <w:rFonts w:cs="Arial"/>
          <w:b/>
          <w:b/>
          <w:color w:val="000000"/>
          <w:sz w:val="28"/>
          <w:szCs w:val="28"/>
          <w:lang w:val="en-US"/>
        </w:rPr>
      </w:pPr>
      <w:r>
        <w:rPr>
          <w:rFonts w:cs="Arial"/>
          <w:b/>
          <w:color w:val="000000"/>
          <w:sz w:val="28"/>
          <w:szCs w:val="28"/>
        </w:rPr>
        <w:t>Из истории карточных игр</w:t>
      </w:r>
    </w:p>
    <w:p>
      <w:pPr>
        <w:pStyle w:val="NormalWeb"/>
        <w:spacing w:lineRule="auto" w:line="240" w:before="0" w:after="0"/>
        <w:ind w:firstLine="709"/>
        <w:jc w:val="both"/>
        <w:rPr/>
      </w:pPr>
      <w:r>
        <w:rPr>
          <w:rFonts w:cs="Arial"/>
          <w:color w:val="000000"/>
          <w:sz w:val="28"/>
          <w:szCs w:val="28"/>
        </w:rPr>
        <w:t>Одно из первых упоминаний карточных игр на Руси относится к 1649 году. В своде законов царя Алексея Михайловича карточная игра приравнивалась к</w:t>
      </w:r>
      <w:r>
        <w:rPr>
          <w:rFonts w:cs="Arial"/>
          <w:color w:val="000000"/>
          <w:sz w:val="28"/>
          <w:szCs w:val="28"/>
          <w:lang w:val="en-US"/>
        </w:rPr>
        <w:t> </w:t>
      </w:r>
      <w:r>
        <w:rPr>
          <w:rFonts w:cs="Arial"/>
          <w:color w:val="000000"/>
          <w:sz w:val="28"/>
          <w:szCs w:val="28"/>
        </w:rPr>
        <w:t xml:space="preserve">тяжкому преступлению. </w:t>
      </w:r>
    </w:p>
    <w:p>
      <w:pPr>
        <w:pStyle w:val="NormalWeb"/>
        <w:spacing w:lineRule="auto" w:line="240"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 начале XVIII века во многих русских домах уже открыто играли в карты, не боясь наказаний. Пётр I не увлекался картами, предпочитая им шахматы. В</w:t>
      </w:r>
      <w:r>
        <w:rPr>
          <w:rFonts w:cs="Arial"/>
          <w:color w:val="000000"/>
          <w:sz w:val="28"/>
          <w:szCs w:val="28"/>
          <w:lang w:val="en-US"/>
        </w:rPr>
        <w:t> </w:t>
      </w:r>
      <w:r>
        <w:rPr>
          <w:rFonts w:cs="Arial"/>
          <w:color w:val="000000"/>
          <w:sz w:val="28"/>
          <w:szCs w:val="28"/>
        </w:rPr>
        <w:t>петровское время играли в ломбер, марьяж. В 1710 году император запрещает игру в карты и кости на кораблях, а спустя семь лет издаёт указ о запрете карточной игры во время войны. В дальнейшем на протяжении многих лет подобные запретительные указы следовали от всех российских императоров.</w:t>
      </w:r>
    </w:p>
    <w:p>
      <w:pPr>
        <w:pStyle w:val="NormalWeb"/>
        <w:spacing w:lineRule="auto" w:line="240"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 1733 году Анна Иоанновна отмечала, что во многих домах проигрывают в карты деньги и пожитки, людей и деревни. За карточную игру на деньги следовало наказание.</w:t>
      </w:r>
    </w:p>
    <w:p>
      <w:pPr>
        <w:pStyle w:val="NormalWeb"/>
        <w:spacing w:lineRule="auto" w:line="240"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 1761 году Елизавета Петровна издала указ, в котором впервые все карточные игры разделялись на разрешённые и запрещённые. В разряд запрещённых попали все игры на деньги и вещи.</w:t>
      </w:r>
    </w:p>
    <w:p>
      <w:pPr>
        <w:pStyle w:val="NormalWeb"/>
        <w:spacing w:lineRule="auto" w:line="240"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Екатерина II в 1766 году подтвердила все вышедшие ранее указы о запрете игр на деньги. Но все указы и запреты не касались императорского двора, где играли в ломбер, вист, макао, фараон. </w:t>
      </w:r>
    </w:p>
    <w:p>
      <w:pPr>
        <w:pStyle w:val="NormalWeb"/>
        <w:pBdr>
          <w:bottom w:val="single" w:sz="2" w:space="2" w:color="000000"/>
        </w:pBdr>
        <w:spacing w:lineRule="auto" w:line="240"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Александр I через три месяца после вступления на престол издал указ о решительном и безоговорочном запрете азартных игр.</w:t>
      </w:r>
    </w:p>
    <w:p>
      <w:pPr>
        <w:pStyle w:val="NormalWeb"/>
        <w:pBdr>
          <w:bottom w:val="single" w:sz="2" w:space="2" w:color="000000"/>
        </w:pBdr>
        <w:spacing w:lineRule="auto" w:line="240"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pBdr>
          <w:bottom w:val="single" w:sz="2" w:space="2" w:color="000000"/>
        </w:pBdr>
        <w:spacing w:lineRule="auto" w:line="240"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pBdr>
          <w:bottom w:val="single" w:sz="2" w:space="2" w:color="000000"/>
        </w:pBdr>
        <w:spacing w:lineRule="auto" w:line="360" w:before="0" w:after="0"/>
        <w:ind w:firstLine="68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pBdr>
          <w:bottom w:val="single" w:sz="2" w:space="2" w:color="000000"/>
        </w:pBdr>
        <w:spacing w:lineRule="auto" w:line="360" w:before="0" w:after="0"/>
        <w:ind w:firstLine="68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pBdr>
          <w:bottom w:val="single" w:sz="2" w:space="2" w:color="000000"/>
        </w:pBdr>
        <w:spacing w:lineRule="auto" w:line="360" w:before="0" w:after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spacing w:lineRule="auto" w:line="240" w:before="0" w:after="0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Известно, что азартные игры в России конца XVIII – начала XIX века формально подвергались запрещению как безнравственные, хотя практически процветали. Разница между этими видами игр, обусловившая и различия в их социальной функции, заключается в степени информации, которая имеется у игроков, и, следовательно, в том, чем определяется выигрыш: расчётом или случаем. В коммерческих играх задача партнёра состоит в разгадывании стратегии противника, причём в распоряжении каждого партнёра имеется достаточно данных, чтобы при способности перебирать варианты и делать необходимые вычисления эту стратегию разгадать. Во-первых, поскольку коммерческие игры – игры с относительно сложными правилами (сравнительно с азартными), число возможных стратегий ограничено в них самой сущностью игры. Во-вторых, психология партнёра накладывает ограничения на его стратегический выбор. В-третьих, выбор зависит и от случайного элемента – характера карт, сданных партнёру. Эта последняя сторона дела наиболее скрыта. Но и о ней вполне можно делать вероятные предположения на основании хода игры. Одновременно игрок в коммерческую игру определяет и свою стратегию, стараясь скрыть её от противника.</w:t>
      </w:r>
    </w:p>
    <w:p>
      <w:pPr>
        <w:pStyle w:val="NormalWeb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Arial"/>
          <w:color w:val="000000"/>
        </w:rPr>
        <w:t xml:space="preserve">Азартные игры строятся так, что игрок вынужден принимать решения, фактически не имея никакой (или почти никакой) информации. Таким образом, он играет не с другим человеком, а со Случаем. </w:t>
      </w:r>
    </w:p>
    <w:p>
      <w:pPr>
        <w:pStyle w:val="NormalWeb"/>
        <w:spacing w:lineRule="auto" w:line="240" w:before="0" w:after="0"/>
        <w:ind w:firstLine="709"/>
        <w:jc w:val="both"/>
        <w:rPr>
          <w:color w:val="000000"/>
        </w:rPr>
      </w:pPr>
      <w:r>
        <w:rPr>
          <w:color w:val="000000"/>
        </w:rPr>
        <w:t>(Лотман Ю.М. Беседы о русской культуре. Быт и традиции русского дворянства (XVIII − начало XIX века).)</w:t>
      </w:r>
    </w:p>
    <w:p>
      <w:pPr>
        <w:pStyle w:val="Style21"/>
        <w:spacing w:lineRule="auto" w:line="360"/>
        <w:ind w:left="0" w:right="0" w:hanging="0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tLeast" w:line="10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Style21"/>
    <w:qFormat/>
    <w:pPr>
      <w:keepNext/>
      <w:numPr>
        <w:ilvl w:val="0"/>
        <w:numId w:val="1"/>
      </w:numPr>
      <w:ind w:left="0" w:right="-546" w:hanging="0"/>
      <w:outlineLvl w:val="0"/>
      <w:outlineLvl w:val="0"/>
    </w:pPr>
    <w:rPr>
      <w:sz w:val="28"/>
    </w:rPr>
  </w:style>
  <w:style w:type="paragraph" w:styleId="2">
    <w:name w:val="Heading 2"/>
    <w:basedOn w:val="Normal"/>
    <w:next w:val="Style21"/>
    <w:qFormat/>
    <w:pPr>
      <w:keepNext/>
      <w:keepLines/>
      <w:numPr>
        <w:ilvl w:val="1"/>
        <w:numId w:val="1"/>
      </w:numPr>
      <w:spacing w:before="200" w:after="0"/>
      <w:outlineLvl w:val="1"/>
      <w:outlineLvl w:val="1"/>
    </w:pPr>
    <w:rPr>
      <w:rFonts w:ascii="Cambria" w:hAnsi="Cambria" w:cs=";Times New Roman"/>
      <w:b/>
      <w:bCs/>
      <w:color w:val="4F81BD"/>
      <w:sz w:val="26"/>
      <w:szCs w:val="26"/>
    </w:rPr>
  </w:style>
  <w:style w:type="paragraph" w:styleId="3">
    <w:name w:val="Heading 3"/>
    <w:basedOn w:val="Normal"/>
    <w:next w:val="Style21"/>
    <w:qFormat/>
    <w:pPr>
      <w:keepNext/>
      <w:keepLines/>
      <w:numPr>
        <w:ilvl w:val="2"/>
        <w:numId w:val="1"/>
      </w:numPr>
      <w:spacing w:before="200" w:after="0"/>
      <w:outlineLvl w:val="2"/>
      <w:outlineLvl w:val="2"/>
    </w:pPr>
    <w:rPr>
      <w:rFonts w:ascii="Cambria" w:hAnsi="Cambria" w:cs=";Times New Roman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1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sz w:val="28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3">
    <w:name w:val="Основной текст Знак"/>
    <w:qFormat/>
    <w:rPr>
      <w:rFonts w:ascii="Times New Roman" w:hAnsi="Times New Roman" w:eastAsia="Times New Roman" w:cs="Times New Roman"/>
      <w:sz w:val="28"/>
      <w:szCs w:val="24"/>
    </w:rPr>
  </w:style>
  <w:style w:type="character" w:styleId="Style14">
    <w:name w:val="Интернет-ссылка"/>
    <w:rPr>
      <w:color w:val="0000FF"/>
      <w:u w:val="single"/>
      <w:lang w:val="zxx" w:bidi="zxx"/>
    </w:rPr>
  </w:style>
  <w:style w:type="character" w:styleId="Appleconvertedspace">
    <w:name w:val="apple-converted-space"/>
    <w:basedOn w:val="DefaultParagraphFont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21">
    <w:name w:val="Заголовок 2 Знак"/>
    <w:qFormat/>
    <w:rPr>
      <w:rFonts w:ascii="Cambria" w:hAnsi="Cambria" w:cs=";Times New Roman"/>
      <w:b/>
      <w:bCs/>
      <w:color w:val="4F81BD"/>
      <w:sz w:val="26"/>
      <w:szCs w:val="26"/>
    </w:rPr>
  </w:style>
  <w:style w:type="character" w:styleId="31">
    <w:name w:val="Заголовок 3 Знак"/>
    <w:qFormat/>
    <w:rPr>
      <w:rFonts w:ascii="Cambria" w:hAnsi="Cambria" w:cs=";Times New Roman"/>
      <w:b/>
      <w:bCs/>
      <w:color w:val="4F81BD"/>
      <w:sz w:val="24"/>
      <w:szCs w:val="24"/>
    </w:rPr>
  </w:style>
  <w:style w:type="character" w:styleId="Toctoggle">
    <w:name w:val="toctoggle"/>
    <w:basedOn w:val="DefaultParagraphFont"/>
    <w:qFormat/>
    <w:rPr/>
  </w:style>
  <w:style w:type="character" w:styleId="Tocnumber">
    <w:name w:val="tocnumber"/>
    <w:basedOn w:val="DefaultParagraphFont"/>
    <w:qFormat/>
    <w:rPr/>
  </w:style>
  <w:style w:type="character" w:styleId="Toctext">
    <w:name w:val="toctext"/>
    <w:basedOn w:val="DefaultParagraphFont"/>
    <w:qFormat/>
    <w:rPr/>
  </w:style>
  <w:style w:type="character" w:styleId="Mwheadline">
    <w:name w:val="mw-headline"/>
    <w:basedOn w:val="DefaultParagraphFont"/>
    <w:qFormat/>
    <w:rPr/>
  </w:style>
  <w:style w:type="character" w:styleId="Mweditsection">
    <w:name w:val="mw-editsection"/>
    <w:basedOn w:val="DefaultParagraphFont"/>
    <w:qFormat/>
    <w:rPr/>
  </w:style>
  <w:style w:type="character" w:styleId="Mweditsectionbracket">
    <w:name w:val="mw-editsection-bracket"/>
    <w:basedOn w:val="DefaultParagraphFont"/>
    <w:qFormat/>
    <w:rPr/>
  </w:style>
  <w:style w:type="character" w:styleId="Mweditsectiondivider">
    <w:name w:val="mw-editsection-divider"/>
    <w:basedOn w:val="DefaultParagraphFont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Style17">
    <w:name w:val="Выделение"/>
    <w:qFormat/>
    <w:rPr>
      <w:i/>
      <w:iCs/>
    </w:rPr>
  </w:style>
  <w:style w:type="character" w:styleId="Style18">
    <w:name w:val="Название Знак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9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Textgray">
    <w:name w:val="text_gray"/>
    <w:basedOn w:val="DefaultParagraphFont"/>
    <w:qFormat/>
    <w:rPr/>
  </w:style>
  <w:style w:type="character" w:styleId="Article">
    <w:name w:val="article"/>
    <w:basedOn w:val="DefaultParagraphFont"/>
    <w:qFormat/>
    <w:rPr/>
  </w:style>
  <w:style w:type="character" w:styleId="Head1">
    <w:name w:val="head_1"/>
    <w:basedOn w:val="DefaultParagraphFont"/>
    <w:qFormat/>
    <w:rPr/>
  </w:style>
  <w:style w:type="character" w:styleId="Magput1">
    <w:name w:val="magput1"/>
    <w:basedOn w:val="DefaultParagraphFont"/>
    <w:qFormat/>
    <w:rPr/>
  </w:style>
  <w:style w:type="character" w:styleId="W">
    <w:name w:val="w"/>
    <w:basedOn w:val="DefaultParagraphFont"/>
    <w:qFormat/>
    <w:rPr/>
  </w:style>
  <w:style w:type="character" w:styleId="Line">
    <w:name w:val="line"/>
    <w:basedOn w:val="DefaultParagraphFont"/>
    <w:qFormat/>
    <w:rPr/>
  </w:style>
  <w:style w:type="character" w:styleId="Fn">
    <w:name w:val="fn"/>
    <w:basedOn w:val="DefaultParagraphFont"/>
    <w:qFormat/>
    <w:rPr/>
  </w:style>
  <w:style w:type="character" w:styleId="Wikidataclaim">
    <w:name w:val="wikidata-claim"/>
    <w:basedOn w:val="DefaultParagraphFont"/>
    <w:qFormat/>
    <w:rPr/>
  </w:style>
  <w:style w:type="character" w:styleId="Wikidatasnak">
    <w:name w:val="wikidata-snak"/>
    <w:basedOn w:val="DefaultParagraphFont"/>
    <w:qFormat/>
    <w:rPr/>
  </w:style>
  <w:style w:type="character" w:styleId="Plainlinks">
    <w:name w:val="plainlinks"/>
    <w:basedOn w:val="DefaultParagraphFont"/>
    <w:qFormat/>
    <w:rPr/>
  </w:style>
  <w:style w:type="character" w:styleId="Geogeodms">
    <w:name w:val="geo-geo-dms"/>
    <w:basedOn w:val="DefaultParagraphFont"/>
    <w:qFormat/>
    <w:rPr/>
  </w:style>
  <w:style w:type="character" w:styleId="Geodms">
    <w:name w:val="geo-dms"/>
    <w:basedOn w:val="DefaultParagraphFont"/>
    <w:qFormat/>
    <w:rPr/>
  </w:style>
  <w:style w:type="character" w:styleId="Latitude">
    <w:name w:val="latitude"/>
    <w:basedOn w:val="DefaultParagraphFont"/>
    <w:qFormat/>
    <w:rPr/>
  </w:style>
  <w:style w:type="character" w:styleId="Longitude">
    <w:name w:val="longitude"/>
    <w:basedOn w:val="DefaultParagraphFont"/>
    <w:qFormat/>
    <w:rPr/>
  </w:style>
  <w:style w:type="character" w:styleId="Noprint">
    <w:name w:val="noprint"/>
    <w:basedOn w:val="DefaultParagraphFont"/>
    <w:qFormat/>
    <w:rPr/>
  </w:style>
  <w:style w:type="character" w:styleId="Referencetext">
    <w:name w:val="reference-text"/>
    <w:basedOn w:val="DefaultParagraphFont"/>
    <w:qFormat/>
    <w:rPr/>
  </w:style>
  <w:style w:type="character" w:styleId="Citation">
    <w:name w:val="citation"/>
    <w:basedOn w:val="DefaultParagraphFont"/>
    <w:qFormat/>
    <w:rPr/>
  </w:style>
  <w:style w:type="character" w:styleId="Mwcitebacklink">
    <w:name w:val="mw-cite-backlink"/>
    <w:basedOn w:val="DefaultParagraphFont"/>
    <w:qFormat/>
    <w:rPr/>
  </w:style>
  <w:style w:type="character" w:styleId="Citeaccessibilitylabel">
    <w:name w:val="cite-accessibility-label"/>
    <w:basedOn w:val="DefaultParagraphFont"/>
    <w:qFormat/>
    <w:rPr/>
  </w:style>
  <w:style w:type="character" w:styleId="Qtc">
    <w:name w:val="qtc"/>
    <w:basedOn w:val="DefaultParagraphFont"/>
    <w:qFormat/>
    <w:rPr/>
  </w:style>
  <w:style w:type="character" w:styleId="Refinfo">
    <w:name w:val="ref-info"/>
    <w:basedOn w:val="DefaultParagraphFont"/>
    <w:qFormat/>
    <w:rPr/>
  </w:style>
  <w:style w:type="character" w:styleId="Linkru">
    <w:name w:val="link-ru"/>
    <w:basedOn w:val="DefaultParagraphFont"/>
    <w:qFormat/>
    <w:rPr/>
  </w:style>
  <w:style w:type="character" w:styleId="HTML">
    <w:name w:val="Стандартный HTML Знак"/>
    <w:qFormat/>
    <w:rPr>
      <w:rFonts w:ascii="Courier New" w:hAnsi="Courier New" w:eastAsia="Times New Roman" w:cs="Courier New"/>
      <w:sz w:val="20"/>
      <w:szCs w:val="20"/>
    </w:rPr>
  </w:style>
  <w:style w:type="character" w:styleId="Jsphonenumber">
    <w:name w:val="js-phone-number"/>
    <w:basedOn w:val="DefaultParagraphFont"/>
    <w:qFormat/>
    <w:rPr/>
  </w:style>
  <w:style w:type="character" w:styleId="Unicode">
    <w:name w:val="unicode"/>
    <w:basedOn w:val="DefaultParagraphFont"/>
    <w:qFormat/>
    <w:rPr/>
  </w:style>
  <w:style w:type="character" w:styleId="Metacategory">
    <w:name w:val="meta-category"/>
    <w:basedOn w:val="DefaultParagraphFont"/>
    <w:qFormat/>
    <w:rPr/>
  </w:style>
  <w:style w:type="character" w:styleId="Blocklink">
    <w:name w:val="block-link"/>
    <w:basedOn w:val="DefaultParagraphFont"/>
    <w:qFormat/>
    <w:rPr/>
  </w:style>
  <w:style w:type="character" w:styleId="B">
    <w:name w:val="b"/>
    <w:basedOn w:val="DefaultParagraphFont"/>
    <w:qFormat/>
    <w:rPr/>
  </w:style>
  <w:style w:type="character" w:styleId="I">
    <w:name w:val="i"/>
    <w:basedOn w:val="DefaultParagraphFont"/>
    <w:qFormat/>
    <w:rPr/>
  </w:style>
  <w:style w:type="character" w:styleId="Vl">
    <w:name w:val="vl"/>
    <w:basedOn w:val="DefaultParagraphFont"/>
    <w:qFormat/>
    <w:rPr/>
  </w:style>
  <w:style w:type="character" w:styleId="Bsharebtnwrap">
    <w:name w:val="b-share-btn__wrap"/>
    <w:basedOn w:val="DefaultParagraphFont"/>
    <w:qFormat/>
    <w:rPr/>
  </w:style>
  <w:style w:type="character" w:styleId="Bsharecounter">
    <w:name w:val="b-share-counter"/>
    <w:basedOn w:val="DefaultParagraphFont"/>
    <w:qFormat/>
    <w:rPr/>
  </w:style>
  <w:style w:type="character" w:styleId="Z">
    <w:name w:val="z-Начало формы Знак"/>
    <w:qFormat/>
    <w:rPr>
      <w:rFonts w:ascii="Arial" w:hAnsi="Arial" w:eastAsia="Times New Roman" w:cs="Arial"/>
      <w:vanish/>
      <w:sz w:val="16"/>
      <w:szCs w:val="16"/>
    </w:rPr>
  </w:style>
  <w:style w:type="character" w:styleId="Z1">
    <w:name w:val="z-Конец формы Знак"/>
    <w:qFormat/>
    <w:rPr>
      <w:rFonts w:ascii="Arial" w:hAnsi="Arial" w:eastAsia="Times New Roman" w:cs="Arial"/>
      <w:vanish/>
      <w:sz w:val="16"/>
      <w:szCs w:val="16"/>
    </w:rPr>
  </w:style>
  <w:style w:type="character" w:styleId="ListLabel1">
    <w:name w:val="ListLabel 1"/>
    <w:qFormat/>
    <w:rPr>
      <w:sz w:val="20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21">
    <w:name w:val="Body Text"/>
    <w:basedOn w:val="Normal"/>
    <w:pPr>
      <w:numPr>
        <w:ilvl w:val="0"/>
        <w:numId w:val="0"/>
      </w:numPr>
      <w:ind w:left="0" w:right="-546" w:hanging="0"/>
    </w:pPr>
    <w:rPr>
      <w:sz w:val="28"/>
    </w:rPr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next w:val="Style26"/>
    <w:qFormat/>
    <w:pPr>
      <w:numPr>
        <w:ilvl w:val="0"/>
        <w:numId w:val="0"/>
      </w:numPr>
      <w:ind w:left="0" w:right="637" w:hanging="0"/>
      <w:jc w:val="center"/>
    </w:pPr>
    <w:rPr>
      <w:b/>
      <w:bCs/>
      <w:sz w:val="36"/>
      <w:szCs w:val="36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ucida Sans"/>
    </w:rPr>
  </w:style>
  <w:style w:type="paragraph" w:styleId="Style25">
    <w:name w:val="Header"/>
    <w:basedOn w:val="Normal"/>
    <w:pPr>
      <w:numPr>
        <w:ilvl w:val="0"/>
        <w:numId w:val="0"/>
      </w:numPr>
      <w:suppressLineNumbers/>
      <w:tabs>
        <w:tab w:val="center" w:pos="4153" w:leader="none"/>
        <w:tab w:val="right" w:pos="8306" w:leader="none"/>
      </w:tabs>
      <w:ind w:hanging="0"/>
    </w:pPr>
    <w:rPr>
      <w:sz w:val="20"/>
      <w:szCs w:val="20"/>
    </w:rPr>
  </w:style>
  <w:style w:type="paragraph" w:styleId="NormalWeb">
    <w:name w:val="Normal (Web)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BalloonText">
    <w:name w:val="Balloon Text"/>
    <w:basedOn w:val="Normal"/>
    <w:qFormat/>
    <w:pPr>
      <w:numPr>
        <w:ilvl w:val="0"/>
        <w:numId w:val="0"/>
      </w:numPr>
      <w:ind w:hanging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spacing w:lineRule="atLeast" w:line="100"/>
    </w:pPr>
    <w:rPr>
      <w:rFonts w:ascii="Calibri" w:hAnsi="Calibri" w:eastAsia="SimSun;宋体" w:cs=";Times New Roman"/>
      <w:color w:val="auto"/>
      <w:sz w:val="22"/>
      <w:szCs w:val="22"/>
      <w:lang w:val="ru-RU" w:bidi="ar-SA" w:eastAsia="zh-CN"/>
    </w:rPr>
  </w:style>
  <w:style w:type="paragraph" w:styleId="Style26">
    <w:name w:val="Subtitle"/>
    <w:basedOn w:val="Style20"/>
    <w:next w:val="Style21"/>
    <w:qFormat/>
    <w:pPr>
      <w:jc w:val="center"/>
    </w:pPr>
    <w:rPr>
      <w:i/>
      <w:iCs/>
      <w:sz w:val="28"/>
      <w:szCs w:val="28"/>
    </w:rPr>
  </w:style>
  <w:style w:type="paragraph" w:styleId="Rtejustify">
    <w:name w:val="rtejustify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Style27">
    <w:name w:val="Footer"/>
    <w:basedOn w:val="Normal"/>
    <w:pPr>
      <w:numPr>
        <w:ilvl w:val="0"/>
        <w:numId w:val="0"/>
      </w:numPr>
      <w:suppressLineNumbers/>
      <w:tabs>
        <w:tab w:val="center" w:pos="4677" w:leader="none"/>
        <w:tab w:val="right" w:pos="9355" w:leader="none"/>
      </w:tabs>
      <w:ind w:hanging="0"/>
    </w:pPr>
    <w:rPr/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Magput">
    <w:name w:val="magput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14">
    <w:name w:val="Верхний колонтитул1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Cite">
    <w:name w:val="cite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Author">
    <w:name w:val="author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H2">
    <w:name w:val="h2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HTMLPreformatted">
    <w:name w:val="HTML Preformatted"/>
    <w:basedOn w:val="Normal"/>
    <w:qFormat/>
    <w:pPr>
      <w:numPr>
        <w:ilvl w:val="0"/>
        <w:numId w:val="0"/>
      </w:num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</w:pPr>
    <w:rPr>
      <w:rFonts w:ascii="Courier New" w:hAnsi="Courier New" w:cs="Courier New"/>
      <w:sz w:val="20"/>
      <w:szCs w:val="20"/>
    </w:rPr>
  </w:style>
  <w:style w:type="paragraph" w:styleId="Meta">
    <w:name w:val="meta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N02">
    <w:name w:val="n02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Msonormalmailrucssattributepostfix">
    <w:name w:val="msonormal_mailru_css_attribute_postfix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Msonormalmailrucssattributepostfixmailrucssattributepostfix">
    <w:name w:val="msonormal_mailru_css_attribute_postfix_mailru_css_attribute_postfix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15">
    <w:name w:val="Абзац списка1"/>
    <w:basedOn w:val="Normal"/>
    <w:qFormat/>
    <w:pPr>
      <w:numPr>
        <w:ilvl w:val="0"/>
        <w:numId w:val="0"/>
      </w:numPr>
      <w:ind w:left="720" w:right="0" w:firstLine="540"/>
      <w:jc w:val="both"/>
    </w:pPr>
    <w:rPr>
      <w:rFonts w:eastAsia="Calibri"/>
      <w:sz w:val="28"/>
      <w:szCs w:val="28"/>
    </w:rPr>
  </w:style>
  <w:style w:type="paragraph" w:styleId="HTMLTopofForm">
    <w:name w:val="HTML Top of Form"/>
    <w:basedOn w:val="Normal"/>
    <w:qFormat/>
    <w:pPr>
      <w:numPr>
        <w:ilvl w:val="0"/>
        <w:numId w:val="0"/>
      </w:numPr>
      <w:pBdr>
        <w:bottom w:val="single" w:sz="6" w:space="1" w:color="000000"/>
      </w:pBdr>
      <w:ind w:hanging="0"/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qFormat/>
    <w:pPr>
      <w:numPr>
        <w:ilvl w:val="0"/>
        <w:numId w:val="0"/>
      </w:numPr>
      <w:pBdr>
        <w:top w:val="single" w:sz="6" w:space="1" w:color="000000"/>
      </w:pBdr>
      <w:ind w:hanging="0"/>
      <w:jc w:val="center"/>
    </w:pPr>
    <w:rPr>
      <w:rFonts w:ascii="Arial" w:hAnsi="Arial" w:cs="Arial"/>
      <w:vanish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LibreOffice/5.2.3.3$Windows_x86 LibreOffice_project/d54a8868f08a7b39642414cf2c8ef2f228f780cf</Application>
  <Pages>1</Pages>
  <Words>398</Words>
  <Characters>2343</Characters>
  <CharactersWithSpaces>2737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2015-04-17T10:33:00Z</dcterms:created>
  <dc:creator>1</dc:creator>
  <dc:description/>
  <dc:language>ru-RU</dc:language>
  <cp:lastModifiedBy>Оксана Ю. Денисова</cp:lastModifiedBy>
  <cp:lastPrinted>2018-02-07T13:00:00Z</cp:lastPrinted>
  <dcterms:modified xsi:type="dcterms:W3CDTF">2018-06-19T17:29:00Z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