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B2" w:rsidRPr="00276434" w:rsidRDefault="00637FB2" w:rsidP="00637FB2">
      <w:pPr>
        <w:jc w:val="center"/>
        <w:rPr>
          <w:rFonts w:ascii="Times New Roman" w:hAnsi="Times New Roman" w:cs="Times New Roman"/>
          <w:b/>
          <w:sz w:val="28"/>
        </w:rPr>
      </w:pPr>
      <w:r w:rsidRPr="00276434">
        <w:rPr>
          <w:rFonts w:ascii="Times New Roman" w:hAnsi="Times New Roman" w:cs="Times New Roman"/>
          <w:b/>
          <w:sz w:val="28"/>
        </w:rPr>
        <w:t xml:space="preserve">Урок </w:t>
      </w:r>
      <w:r>
        <w:rPr>
          <w:rFonts w:ascii="Times New Roman" w:hAnsi="Times New Roman" w:cs="Times New Roman"/>
          <w:b/>
          <w:sz w:val="28"/>
        </w:rPr>
        <w:t xml:space="preserve">английского языка </w:t>
      </w:r>
      <w:r w:rsidRPr="00276434">
        <w:rPr>
          <w:rFonts w:ascii="Times New Roman" w:hAnsi="Times New Roman" w:cs="Times New Roman"/>
          <w:b/>
          <w:sz w:val="28"/>
        </w:rPr>
        <w:t xml:space="preserve">в Музее Победы для </w:t>
      </w:r>
      <w:proofErr w:type="spellStart"/>
      <w:r w:rsidR="002F1846">
        <w:rPr>
          <w:rFonts w:ascii="Times New Roman" w:hAnsi="Times New Roman" w:cs="Times New Roman"/>
          <w:b/>
          <w:sz w:val="28"/>
        </w:rPr>
        <w:t>медиа</w:t>
      </w:r>
      <w:r w:rsidRPr="00276434">
        <w:rPr>
          <w:rFonts w:ascii="Times New Roman" w:hAnsi="Times New Roman" w:cs="Times New Roman"/>
          <w:b/>
          <w:sz w:val="28"/>
        </w:rPr>
        <w:t>классов</w:t>
      </w:r>
      <w:proofErr w:type="spellEnd"/>
    </w:p>
    <w:p w:rsidR="00637FB2" w:rsidRPr="00C1673B" w:rsidRDefault="00637FB2" w:rsidP="00637FB2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People’s activities during the World War </w:t>
      </w:r>
      <w:r w:rsidRPr="00A80008">
        <w:rPr>
          <w:rFonts w:ascii="Times New Roman" w:hAnsi="Times New Roman" w:cs="Times New Roman"/>
          <w:b/>
          <w:sz w:val="28"/>
          <w:lang w:val="en-US"/>
        </w:rPr>
        <w:t>II</w:t>
      </w:r>
    </w:p>
    <w:p w:rsidR="00D47697" w:rsidRDefault="00411D08" w:rsidP="0076226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D08">
        <w:rPr>
          <w:rFonts w:ascii="Times New Roman" w:hAnsi="Times New Roman" w:cs="Times New Roman"/>
          <w:b/>
          <w:sz w:val="28"/>
          <w:szCs w:val="28"/>
          <w:lang w:val="en-US"/>
        </w:rPr>
        <w:t>Case</w:t>
      </w:r>
    </w:p>
    <w:p w:rsidR="00411D08" w:rsidRDefault="00CB7D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B5274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421" w:rsidRPr="00A50421" w:rsidRDefault="00A50421" w:rsidP="00A504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0421">
        <w:rPr>
          <w:rFonts w:ascii="Times New Roman" w:hAnsi="Times New Roman" w:cs="Times New Roman"/>
          <w:sz w:val="28"/>
          <w:szCs w:val="28"/>
          <w:lang w:val="en-US"/>
        </w:rPr>
        <w:t xml:space="preserve">Visit the English version of the Museum’s website. </w:t>
      </w:r>
    </w:p>
    <w:p w:rsidR="00CB7D80" w:rsidRDefault="008A0DFB" w:rsidP="00A5042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A50421" w:rsidRPr="00A504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https://victorymuseum.ru/for-visitors/museum-for-china/en/</w:t>
        </w:r>
      </w:hyperlink>
    </w:p>
    <w:p w:rsidR="00A50421" w:rsidRDefault="00C74B1E" w:rsidP="00A504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7CDD2D">
            <wp:extent cx="1908175" cy="190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4B1E" w:rsidRDefault="00C50FE8" w:rsidP="007622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FE8">
        <w:rPr>
          <w:rFonts w:ascii="Times New Roman" w:hAnsi="Times New Roman" w:cs="Times New Roman"/>
          <w:sz w:val="28"/>
          <w:szCs w:val="28"/>
          <w:lang w:val="en-US"/>
        </w:rPr>
        <w:t>Use the information provided to answer the following email you received from your English-speaking friend Debby.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3B16" w:rsidRPr="00B53B16" w:rsidTr="00473572">
        <w:tc>
          <w:tcPr>
            <w:tcW w:w="9854" w:type="dxa"/>
          </w:tcPr>
          <w:p w:rsidR="00B53B16" w:rsidRPr="00B53B16" w:rsidRDefault="00B53B16" w:rsidP="00B53B1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3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From: Debby@mail.uk</w:t>
            </w:r>
          </w:p>
        </w:tc>
      </w:tr>
      <w:tr w:rsidR="00B53B16" w:rsidRPr="008A0DFB" w:rsidTr="00473572">
        <w:tc>
          <w:tcPr>
            <w:tcW w:w="9854" w:type="dxa"/>
          </w:tcPr>
          <w:p w:rsidR="00B53B16" w:rsidRPr="00B53B16" w:rsidRDefault="00B53B16" w:rsidP="00B53B1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3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To: Russia_friend@ege.ru</w:t>
            </w:r>
          </w:p>
        </w:tc>
      </w:tr>
      <w:tr w:rsidR="00B53B16" w:rsidRPr="00B53B16" w:rsidTr="00473572">
        <w:tc>
          <w:tcPr>
            <w:tcW w:w="9854" w:type="dxa"/>
          </w:tcPr>
          <w:p w:rsidR="00B53B16" w:rsidRPr="00B53B16" w:rsidRDefault="00B53B16" w:rsidP="00B53B1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3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Subject: The Victory Museum</w:t>
            </w:r>
          </w:p>
        </w:tc>
      </w:tr>
      <w:tr w:rsidR="00B53B16" w:rsidRPr="008A0DFB" w:rsidTr="00473572">
        <w:tc>
          <w:tcPr>
            <w:tcW w:w="9854" w:type="dxa"/>
          </w:tcPr>
          <w:p w:rsidR="00B53B16" w:rsidRPr="00B53B16" w:rsidRDefault="00B53B16" w:rsidP="00B53B1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3B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</w:t>
            </w:r>
            <w:proofErr w:type="gramStart"/>
            <w:r w:rsidRPr="00B53B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I’m</w:t>
            </w:r>
            <w:proofErr w:type="gramEnd"/>
            <w:r w:rsidRPr="00B53B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really looking forward to my trip to Moscow! </w:t>
            </w:r>
            <w:proofErr w:type="gramStart"/>
            <w:r w:rsidRPr="00B53B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I’m</w:t>
            </w:r>
            <w:proofErr w:type="gramEnd"/>
            <w:r w:rsidRPr="00B53B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especially interested in visiting the Victory Museum. How can I learn about the battles of the Great Patriotic War in the museum? Is there any information on the weaponry used during WWII? </w:t>
            </w:r>
            <w:proofErr w:type="gramStart"/>
            <w:r w:rsidRPr="00B53B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I’m</w:t>
            </w:r>
            <w:proofErr w:type="gramEnd"/>
            <w:r w:rsidRPr="00B53B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going to travel with my parents and my 7-year-old brother. Will we be able to go on a guided tour?</w:t>
            </w:r>
          </w:p>
          <w:p w:rsidR="00B53B16" w:rsidRPr="00B53B16" w:rsidRDefault="00B53B16" w:rsidP="00B53B1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3B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By the way, I’ve decided to become a </w:t>
            </w:r>
            <w:proofErr w:type="spellStart"/>
            <w:r w:rsidR="002F18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defence</w:t>
            </w:r>
            <w:proofErr w:type="spellEnd"/>
            <w:r w:rsidR="002F18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correspondent</w:t>
            </w:r>
            <w:r w:rsidRPr="00B53B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</w:t>
            </w:r>
          </w:p>
          <w:p w:rsidR="00B53B16" w:rsidRPr="00B53B16" w:rsidRDefault="00B53B16" w:rsidP="00B53B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53B16" w:rsidRPr="00B53B16" w:rsidRDefault="00B53B16" w:rsidP="00B53B1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3B16">
        <w:rPr>
          <w:rFonts w:ascii="Times New Roman" w:hAnsi="Times New Roman" w:cs="Times New Roman"/>
          <w:sz w:val="28"/>
          <w:szCs w:val="28"/>
          <w:lang w:val="en-US"/>
        </w:rPr>
        <w:t>Write an email to Debby. Use the information leaflet below to answer her questions. Ask three questions about her future profession.</w:t>
      </w:r>
    </w:p>
    <w:p w:rsidR="00B53B16" w:rsidRPr="00B53B16" w:rsidRDefault="00B53B16" w:rsidP="00B53B1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3B16">
        <w:rPr>
          <w:rFonts w:ascii="Times New Roman" w:hAnsi="Times New Roman" w:cs="Times New Roman"/>
          <w:sz w:val="28"/>
          <w:szCs w:val="28"/>
          <w:lang w:val="en-US"/>
        </w:rPr>
        <w:t>Write 100 – 140 words. Remember the rules of email writing.</w:t>
      </w:r>
    </w:p>
    <w:p w:rsidR="00C50FE8" w:rsidRDefault="008A0DFB" w:rsidP="00A504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13pt">
            <v:imagedata r:id="rId9" o:title="Victory Museum Case 1"/>
          </v:shape>
        </w:pict>
      </w:r>
    </w:p>
    <w:p w:rsidR="008A0DFB" w:rsidRDefault="008A0DFB" w:rsidP="00A504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 id="_x0000_i1026" type="#_x0000_t75" style="width:466.5pt;height:231pt">
            <v:imagedata r:id="rId10" o:title="Victory Museum Case 2"/>
          </v:shape>
        </w:pict>
      </w:r>
    </w:p>
    <w:p w:rsidR="008A0DFB" w:rsidRPr="00A410A2" w:rsidRDefault="008A0DFB" w:rsidP="008A0DFB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EF38CF">
        <w:rPr>
          <w:rFonts w:ascii="Times New Roman" w:hAnsi="Times New Roman" w:cs="Times New Roman"/>
          <w:b/>
          <w:sz w:val="28"/>
        </w:rPr>
        <w:t>Кейс</w:t>
      </w:r>
      <w:r w:rsidRPr="00A410A2">
        <w:rPr>
          <w:rFonts w:ascii="Times New Roman" w:hAnsi="Times New Roman" w:cs="Times New Roman"/>
          <w:b/>
          <w:sz w:val="28"/>
          <w:lang w:val="en-US"/>
        </w:rPr>
        <w:t xml:space="preserve"> 2 (</w:t>
      </w:r>
      <w:r w:rsidRPr="00EF38CF">
        <w:rPr>
          <w:rFonts w:ascii="Times New Roman" w:hAnsi="Times New Roman" w:cs="Times New Roman"/>
          <w:b/>
          <w:sz w:val="28"/>
        </w:rPr>
        <w:t>углубленный</w:t>
      </w:r>
      <w:r w:rsidRPr="00A410A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EF38CF">
        <w:rPr>
          <w:rFonts w:ascii="Times New Roman" w:hAnsi="Times New Roman" w:cs="Times New Roman"/>
          <w:b/>
          <w:sz w:val="28"/>
        </w:rPr>
        <w:t>уровень</w:t>
      </w:r>
      <w:r w:rsidRPr="00A410A2">
        <w:rPr>
          <w:rFonts w:ascii="Times New Roman" w:hAnsi="Times New Roman" w:cs="Times New Roman"/>
          <w:b/>
          <w:sz w:val="28"/>
          <w:lang w:val="en-US"/>
        </w:rPr>
        <w:t>)</w:t>
      </w:r>
    </w:p>
    <w:p w:rsidR="008A0DFB" w:rsidRDefault="008A0DFB" w:rsidP="008A0DFB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This task is suitable for those aspiring to deal with journalistic or media-related translation. </w:t>
      </w:r>
      <w:r w:rsidRPr="00153316">
        <w:rPr>
          <w:rFonts w:ascii="Times New Roman" w:hAnsi="Times New Roman" w:cs="Times New Roman"/>
          <w:sz w:val="28"/>
          <w:lang w:val="en-US"/>
        </w:rPr>
        <w:t>The students use the QR-code or the link below to see</w:t>
      </w:r>
      <w:r>
        <w:rPr>
          <w:rFonts w:ascii="Times New Roman" w:hAnsi="Times New Roman" w:cs="Times New Roman"/>
          <w:sz w:val="28"/>
          <w:lang w:val="en-US"/>
        </w:rPr>
        <w:t xml:space="preserve"> the text.</w:t>
      </w:r>
    </w:p>
    <w:p w:rsidR="008A0DFB" w:rsidRDefault="008A0DFB" w:rsidP="008A0DFB">
      <w:pPr>
        <w:jc w:val="both"/>
        <w:rPr>
          <w:rFonts w:ascii="Times New Roman" w:hAnsi="Times New Roman" w:cs="Times New Roman"/>
          <w:sz w:val="28"/>
          <w:lang w:val="en-US"/>
        </w:rPr>
      </w:pPr>
      <w:hyperlink r:id="rId11" w:history="1">
        <w:r w:rsidRPr="00C5781A">
          <w:rPr>
            <w:rStyle w:val="a3"/>
            <w:rFonts w:ascii="Times New Roman" w:hAnsi="Times New Roman" w:cs="Times New Roman"/>
            <w:sz w:val="28"/>
            <w:lang w:val="en-US"/>
          </w:rPr>
          <w:t>https://drive.google.com/file/d/1SLjLM6-lO3zOjnfSpeiRvicwg0TBdd61/view?usp=sharing</w:t>
        </w:r>
      </w:hyperlink>
    </w:p>
    <w:p w:rsidR="008A0DFB" w:rsidRDefault="008A0DFB" w:rsidP="008A0DFB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8A0DFB" w:rsidRDefault="008A0DFB" w:rsidP="008A0DFB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5005728B" wp14:editId="7C080F91">
            <wp:extent cx="2457450" cy="2428875"/>
            <wp:effectExtent l="0" t="0" r="0" b="9525"/>
            <wp:docPr id="10" name="Рисунок 10" descr="C:\Users\kalininva\AppData\Local\Microsoft\Windows\INetCache\Content.Word\frame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lininva\AppData\Local\Microsoft\Windows\INetCache\Content.Word\frame (13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5" t="7486" r="6270" b="28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DFB" w:rsidRDefault="008A0DFB" w:rsidP="008A0DFB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The students need to read an article on the Battle of Stalingrad and choose a passage for translation into English. Their work on the translation </w:t>
      </w:r>
      <w:proofErr w:type="gramStart"/>
      <w:r>
        <w:rPr>
          <w:rFonts w:ascii="Times New Roman" w:hAnsi="Times New Roman" w:cs="Times New Roman"/>
          <w:sz w:val="28"/>
          <w:lang w:val="en-US"/>
        </w:rPr>
        <w:t>can be based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on the following plan.</w:t>
      </w:r>
    </w:p>
    <w:p w:rsidR="008A0DFB" w:rsidRDefault="008A0DFB" w:rsidP="008A0DFB">
      <w:pPr>
        <w:jc w:val="both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:rsidR="008A0DFB" w:rsidRPr="004C2472" w:rsidRDefault="008A0DFB" w:rsidP="008A0D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4C2472">
        <w:rPr>
          <w:rFonts w:ascii="Times New Roman" w:hAnsi="Times New Roman" w:cs="Times New Roman"/>
          <w:sz w:val="28"/>
          <w:lang w:val="en-US"/>
        </w:rPr>
        <w:t>Analyze the text:</w:t>
      </w:r>
    </w:p>
    <w:p w:rsidR="008A0DFB" w:rsidRDefault="008A0DFB" w:rsidP="008A0DF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which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grammar structures will you need to use?</w:t>
      </w:r>
    </w:p>
    <w:p w:rsidR="008A0DFB" w:rsidRDefault="008A0DFB" w:rsidP="008A0DF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Which words and phrases do you need to look up?</w:t>
      </w:r>
    </w:p>
    <w:p w:rsidR="008A0DFB" w:rsidRDefault="008A0DFB" w:rsidP="008A0DF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Are there any style and register peculiarities?</w:t>
      </w:r>
      <w:proofErr w:type="gramEnd"/>
    </w:p>
    <w:p w:rsidR="008A0DFB" w:rsidRDefault="008A0DFB" w:rsidP="008A0D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4C2472">
        <w:rPr>
          <w:rFonts w:ascii="Times New Roman" w:hAnsi="Times New Roman" w:cs="Times New Roman"/>
          <w:sz w:val="28"/>
          <w:lang w:val="en-US"/>
        </w:rPr>
        <w:t>Make a glossary of necessary vocabulary.</w:t>
      </w:r>
    </w:p>
    <w:p w:rsidR="008A0DFB" w:rsidRDefault="008A0DFB" w:rsidP="008A0D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4C2472">
        <w:rPr>
          <w:rFonts w:ascii="Times New Roman" w:hAnsi="Times New Roman" w:cs="Times New Roman"/>
          <w:sz w:val="28"/>
          <w:lang w:val="en-US"/>
        </w:rPr>
        <w:t>Write a draft of the translation.</w:t>
      </w:r>
    </w:p>
    <w:p w:rsidR="008A0DFB" w:rsidRDefault="008A0DFB" w:rsidP="008A0D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4C2472">
        <w:rPr>
          <w:rFonts w:ascii="Times New Roman" w:hAnsi="Times New Roman" w:cs="Times New Roman"/>
          <w:sz w:val="28"/>
          <w:lang w:val="en-US"/>
        </w:rPr>
        <w:t>Do error correction.</w:t>
      </w:r>
    </w:p>
    <w:p w:rsidR="008A0DFB" w:rsidRDefault="008A0DFB" w:rsidP="008A0D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4C2472">
        <w:rPr>
          <w:rFonts w:ascii="Times New Roman" w:hAnsi="Times New Roman" w:cs="Times New Roman"/>
          <w:sz w:val="28"/>
          <w:lang w:val="en-US"/>
        </w:rPr>
        <w:t>Exchange translations with your peers, assess each other’s works and provide feedback. Consult with your English teacher. Edit the translation based on your peers’ and teacher’s recommendations.</w:t>
      </w:r>
    </w:p>
    <w:p w:rsidR="008A0DFB" w:rsidRDefault="008A0DFB" w:rsidP="008A0DFB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Possible ways of organizing work and presenting results:</w:t>
      </w:r>
    </w:p>
    <w:p w:rsidR="008A0DFB" w:rsidRDefault="008A0DFB" w:rsidP="008A0D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All students translate the same passage. A contest for the best translation is organized.</w:t>
      </w:r>
    </w:p>
    <w:p w:rsidR="008A0DFB" w:rsidRPr="004C2472" w:rsidRDefault="008A0DFB" w:rsidP="008A0D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The whole article </w:t>
      </w:r>
      <w:proofErr w:type="gramStart"/>
      <w:r>
        <w:rPr>
          <w:rFonts w:ascii="Times New Roman" w:hAnsi="Times New Roman" w:cs="Times New Roman"/>
          <w:sz w:val="28"/>
          <w:lang w:val="en-US"/>
        </w:rPr>
        <w:t>is divided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equally among the students. The ultimate goal is to get a consistent translation of the article.</w:t>
      </w:r>
    </w:p>
    <w:p w:rsidR="008A0DFB" w:rsidRDefault="008A0DFB" w:rsidP="008A0D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All students translate the same passage. A contest for the best translation is organized.</w:t>
      </w:r>
    </w:p>
    <w:p w:rsidR="008A0DFB" w:rsidRPr="004C2472" w:rsidRDefault="008A0DFB" w:rsidP="008A0DF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The whole article </w:t>
      </w:r>
      <w:proofErr w:type="gramStart"/>
      <w:r>
        <w:rPr>
          <w:rFonts w:ascii="Times New Roman" w:hAnsi="Times New Roman" w:cs="Times New Roman"/>
          <w:sz w:val="28"/>
          <w:lang w:val="en-US"/>
        </w:rPr>
        <w:t>is divided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equally among the students. The ultimate goal is to get a consistent translation of the article.</w:t>
      </w:r>
    </w:p>
    <w:p w:rsidR="008A0DFB" w:rsidRPr="0001694A" w:rsidRDefault="008A0DFB" w:rsidP="008A0DFB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8A0DFB" w:rsidRPr="0001694A" w:rsidRDefault="008A0DFB" w:rsidP="008A0DFB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D34490" w:rsidRPr="008A0DFB" w:rsidRDefault="00D34490" w:rsidP="008A0DF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34490" w:rsidRPr="008A0DFB" w:rsidSect="007622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D5A4B"/>
    <w:multiLevelType w:val="hybridMultilevel"/>
    <w:tmpl w:val="A7784E86"/>
    <w:lvl w:ilvl="0" w:tplc="6C3A6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B59A7"/>
    <w:multiLevelType w:val="hybridMultilevel"/>
    <w:tmpl w:val="7B18BF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D7A"/>
    <w:multiLevelType w:val="hybridMultilevel"/>
    <w:tmpl w:val="684A6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45"/>
    <w:rsid w:val="002F1846"/>
    <w:rsid w:val="00411D08"/>
    <w:rsid w:val="00456745"/>
    <w:rsid w:val="005D6E38"/>
    <w:rsid w:val="00637FB2"/>
    <w:rsid w:val="00762261"/>
    <w:rsid w:val="008A0DFB"/>
    <w:rsid w:val="00A50421"/>
    <w:rsid w:val="00B53B16"/>
    <w:rsid w:val="00C50FE8"/>
    <w:rsid w:val="00C74B1E"/>
    <w:rsid w:val="00CB134C"/>
    <w:rsid w:val="00CB7D80"/>
    <w:rsid w:val="00CD0A37"/>
    <w:rsid w:val="00D34490"/>
    <w:rsid w:val="00D4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ACD0-581C-4CC9-AED0-93A8580D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42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0DF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A0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ctorymuseum.ru/for-visitors/museum-for-china/en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file/d/1SLjLM6-lO3zOjnfSpeiRvicwg0TBdd61/view?usp=shari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0EA2-50CF-4001-A7E9-43399932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Игоревич Самко</dc:creator>
  <cp:keywords/>
  <dc:description/>
  <cp:lastModifiedBy>Виктор Андреевич Калинин</cp:lastModifiedBy>
  <cp:revision>2</cp:revision>
  <dcterms:created xsi:type="dcterms:W3CDTF">2021-09-30T16:28:00Z</dcterms:created>
  <dcterms:modified xsi:type="dcterms:W3CDTF">2021-09-30T16:28:00Z</dcterms:modified>
</cp:coreProperties>
</file>