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before="0" w:after="0"/>
        <w:ind w:left="708" w:hanging="708"/>
        <w:jc w:val="right"/>
        <w:rPr>
          <w:rFonts w:ascii="Times New Roman" w:hAnsi="Times New Roman" w:cs="Times New Roman"/>
          <w:sz w:val="28"/>
          <w:szCs w:val="28"/>
          <w:lang w:val="ru-RU"/>
        </w:rPr>
      </w:pPr>
      <w:r>
        <w:rPr>
          <w:rFonts w:cs="Times New Roman" w:ascii="Times New Roman" w:hAnsi="Times New Roman"/>
          <w:sz w:val="28"/>
          <w:szCs w:val="28"/>
          <w:lang w:val="ru-RU"/>
        </w:rPr>
        <w:t>К.В. Ривчак</w:t>
      </w:r>
    </w:p>
    <w:p>
      <w:pPr>
        <w:pStyle w:val="Normal"/>
        <w:spacing w:lineRule="auto" w:line="240" w:before="0" w:after="0"/>
        <w:ind w:left="708" w:hanging="708"/>
        <w:jc w:val="center"/>
        <w:rPr/>
      </w:pPr>
      <w:r>
        <w:rPr>
          <w:rFonts w:cs="Times New Roman" w:ascii="Times New Roman" w:hAnsi="Times New Roman"/>
          <w:sz w:val="28"/>
          <w:szCs w:val="28"/>
          <w:lang w:val="ru-RU"/>
        </w:rPr>
        <w:t>Материалы для учителя к уроку в музее «1941: рождение Победы?»</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Материалы могут быть использованы для помощи учащимся в проведении исследования, защите проектов, их обсуждении и оценке.</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center"/>
        <w:rPr>
          <w:rFonts w:ascii="Times New Roman" w:hAnsi="Times New Roman" w:cs="Times New Roman"/>
          <w:sz w:val="28"/>
          <w:szCs w:val="28"/>
          <w:lang w:val="ru-RU"/>
        </w:rPr>
      </w:pPr>
      <w:r>
        <w:rPr>
          <w:rFonts w:cs="Times New Roman" w:ascii="Times New Roman" w:hAnsi="Times New Roman"/>
          <w:sz w:val="28"/>
          <w:szCs w:val="28"/>
          <w:lang w:val="ru-RU"/>
        </w:rPr>
        <w:t>Начало войны</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pPr>
      <w:r>
        <w:rPr>
          <w:rFonts w:cs="Times New Roman" w:ascii="Times New Roman" w:hAnsi="Times New Roman"/>
          <w:sz w:val="28"/>
          <w:szCs w:val="28"/>
          <w:lang w:val="ru-RU"/>
        </w:rPr>
        <w:t>1. а) Немецкий план «Барбаросса» предусматривал наступление на</w:t>
      </w:r>
      <w:r>
        <w:rPr>
          <w:rFonts w:cs="Times New Roman" w:ascii="Times New Roman" w:hAnsi="Times New Roman"/>
          <w:sz w:val="28"/>
          <w:szCs w:val="28"/>
        </w:rPr>
        <w:t> </w:t>
      </w:r>
      <w:r>
        <w:rPr>
          <w:rFonts w:cs="Times New Roman" w:ascii="Times New Roman" w:hAnsi="Times New Roman"/>
          <w:sz w:val="28"/>
          <w:szCs w:val="28"/>
          <w:lang w:val="ru-RU"/>
        </w:rPr>
        <w:t xml:space="preserve">Советский Союз основными силами трёх групп армий: «Север» – на Ригу, Таллин, Ленинград, «Центр» – на Смоленск и Москву, «Юг» – на Киев и Ростов-на-Дону. </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б) На второстепенных направлениях планировалось наступление: финской армии – на Ленинград и Петрозаводск, румынской армии – на Одессу.</w:t>
      </w:r>
    </w:p>
    <w:p>
      <w:pPr>
        <w:pStyle w:val="Normal"/>
        <w:spacing w:lineRule="auto" w:line="240" w:before="0" w:after="0"/>
        <w:ind w:firstLine="567"/>
        <w:jc w:val="both"/>
        <w:rPr/>
      </w:pPr>
      <w:r>
        <w:rPr>
          <w:rFonts w:cs="Times New Roman" w:ascii="Times New Roman" w:hAnsi="Times New Roman"/>
          <w:sz w:val="28"/>
          <w:szCs w:val="28"/>
          <w:lang w:val="ru-RU"/>
        </w:rPr>
        <w:t>в) Наступление немецких войск планировалось завершить захватом Архангельска, Куйбышева (Самары), Сталинграда (Волгограда).</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 а) Вскоре после вторжения в СССР А. Гитлер заявил в узком кругу приближенных: «основная цель в войне – лишить восточные народы какой бы то ни стало формы государственной организации, держать их на более низком уровне культуры». Известно высказывание Г. Гиммлера: «Русские должны будут уметь только считать и писать своё имя. Их первое дело – подчиняться немцам».</w:t>
      </w:r>
    </w:p>
    <w:p>
      <w:pPr>
        <w:pStyle w:val="Normal"/>
        <w:spacing w:lineRule="auto" w:line="240" w:before="0" w:after="0"/>
        <w:ind w:firstLine="567"/>
        <w:jc w:val="both"/>
        <w:rPr/>
      </w:pPr>
      <w:r>
        <w:rPr>
          <w:rFonts w:cs="Times New Roman" w:ascii="Times New Roman" w:hAnsi="Times New Roman"/>
          <w:sz w:val="28"/>
          <w:szCs w:val="28"/>
          <w:lang w:val="ru-RU"/>
        </w:rPr>
        <w:t>б) Ещё в своей книге «Майн Кампф» (нем. Mein Kampf – «Моя борьба»), впервые опубликованной в 1925 г., А. Гитлер указал на Россию, «соседние и зависимые от неё страны» (республики СССР) как на «новые земли и территории», необходимые для немецкого народа.</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3. Немецкие танковые войска являлись основным средством прорыва обороны противника и развития наступления. В составе сил, вторгшихся на территорию СССР, насчитывалось более 4 тыс. танков. Сами танковые гусеницы, подминающие дорожные препятствия, могут служить символом огромной ударной силы немецкой армии.</w:t>
      </w:r>
    </w:p>
    <w:p>
      <w:pPr>
        <w:pStyle w:val="Normal"/>
        <w:spacing w:lineRule="auto" w:line="240" w:before="0" w:after="0"/>
        <w:ind w:firstLine="567"/>
        <w:jc w:val="both"/>
        <w:rPr/>
      </w:pPr>
      <w:r>
        <w:rPr>
          <w:rFonts w:cs="Times New Roman" w:ascii="Times New Roman" w:hAnsi="Times New Roman"/>
          <w:sz w:val="28"/>
          <w:szCs w:val="28"/>
          <w:lang w:val="ru-RU"/>
        </w:rPr>
        <w:t>Немецкий армейский мотоцикл BMW R12 мог перевозить трёх вооружённых солдат со скоростью 85 км/ч на 230 км за одну заправку. Немецкая пехотная дивизия имела более четырёхсот таких мотоциклов, а также большое количество легковых и грузовых автомобилей, что делало её силы подвижными, мобильными.</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Немецкий пулемёт MG 34 имел темп стрельбы 15 выстрелов в секунду и делал до 150 выстрелов подряд до перегрева ствола, который мог быть сменён на запасной за несколько секунд. Немецкий пехотный батальон имел 48 таких пулемётов, что придавало ему большую огневую мощь.</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4. Первый удар немецко-фашистских войск приняли пограничные войска НКВД СССР. Пограничники были вооружены лишь лёгким стрелковым оружием и не были способны остановить превосходящего противника. Однако многие заставы оказали врагу героическое сопротивление. Так, 11 дней удерживали 13-ю заставу Владимир-Волынского пограничного отряда бойцы под командованием лейтенанта А. Лопатина.</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5. 22 июня 1941 г. Президиум Верховного Совета СССР принял ряд указов. Указ «О военном положении» передал значительный объём государственной власти советскому военному руководству. Указ «Об объявлении военного положения» распространил это положение на территорию европейской части СССР. Указ «О мобилизации» начал призыв в ряды Красной Армии огромного числа военнообязанных.</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6. Призыв в ряды Красной Армии военнообязанных был начат по Указу «О мобилизации» с 23 июня. Уже к 1 июля в СССР были мобилизованы 5 млн 300 тыс. человек.</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7. Производство военной продукции было одним из важнейших условий для способности СССР вести войну. В условиях мобилизации огромного числа военнообязанных мужчин их рабочие места широко занимали женщины. К 1942 г. доля женского труда в промышленности возросла, по сравнению с довоенным уровнем, с 41 до 51%. В том числе: среди токарей по металлу – с 16 до 33%, сварщиков – с 17 до 31%, слесарей – с 4 до 12%.</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center"/>
        <w:rPr>
          <w:rFonts w:ascii="Times New Roman" w:hAnsi="Times New Roman" w:cs="Times New Roman"/>
          <w:sz w:val="28"/>
          <w:szCs w:val="28"/>
          <w:lang w:val="ru-RU"/>
        </w:rPr>
      </w:pPr>
      <w:r>
        <w:rPr>
          <w:rFonts w:cs="Times New Roman" w:ascii="Times New Roman" w:hAnsi="Times New Roman"/>
          <w:sz w:val="28"/>
          <w:szCs w:val="28"/>
          <w:lang w:val="ru-RU"/>
        </w:rPr>
        <w:t>Оборона Москвы</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1. Наступление немецко-фашистских войск на Москву (операция «Тайфун») началось 30 сентября 1941 г. Основные удары наносили (с севера на юг) 3-я, 4-я и 2-я танковые группы. В результате к 10 октября часть сил Западного и Резервного фронтов Красной Армии оказалась окружена в районе Вязьмы, часть сил Брянского фронта – в районе Брянска. Прорвав советский фронт на московском направлении, немецкие войска планировали выйти к столице с севера, запада и юга.</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 Город Наро-Фоминск Московской области находится в 70 км к юго-западу от Москвы. Уличные бои в Наро-Фоминске начались 22 октября 1941 г., однако соединения советской 33-й армии удерживали восточную часть города до перехода Красной Армии в контрнаступление. За два месяца боёв в Наро-Фоминске были разрушены и сгорели 687 жилых домов.</w:t>
      </w:r>
    </w:p>
    <w:p>
      <w:pPr>
        <w:pStyle w:val="Normal"/>
        <w:spacing w:lineRule="auto" w:line="240" w:before="0" w:after="0"/>
        <w:ind w:firstLine="567"/>
        <w:jc w:val="both"/>
        <w:rPr/>
      </w:pPr>
      <w:r>
        <w:rPr>
          <w:rFonts w:cs="Times New Roman" w:ascii="Times New Roman" w:hAnsi="Times New Roman"/>
          <w:sz w:val="28"/>
          <w:szCs w:val="28"/>
          <w:lang w:val="ru-RU"/>
        </w:rPr>
        <w:t>К концу октября упорная оборона Красной Армии остановила немецкое наступление на линии восточнее Волоколамска, Можайска, по Наро-Фоминску, западнее Серпухова.</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3. В период наступления немецко-фашистских войск на Москву в тылу группы армий «Центр» действовали несколько сот партизанских отрядов общей численностью более 30 тыс. человек, а также около тысячи небольших боевых групп.</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4. В годы войны Москва представляла собой один из крупнейших промышленных центров СССР. К осени 1941 г. около 2 тыс. столичных промышленных предприятий выпускали военную продукцию, доля которой в общем производстве Москвы в ноябре составила 94%. Распространена была практика сдачи предприятиями готовой продукции непосредственно представителям фронтовых частей.</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5. 19 октября 1941 г. Государственный Комитет Обороны издал постановление «О введении осадного положения в Москве и в прилегающих к городу районах», в котором возложил оборону столицы на её подступах на начальника гарнизона г. Москвы генерал-лейтенанта П.А. Артемьева. Во исполнение этого П.А. Артемьев 21 октября издал приказ «О создании прочной и устойчивой обороны г. Москвы», в котором приказал «приступить к постройке огневых точек и баррикад на площадях и улицах внутри г. Москвы». Было сооружено свыше 700 огневых точек, около 10 км баррикад, установлено 24 тыс. противотанковых ежей.</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6. Военный парад на Красной площади состоялся 7 ноября 1941 г. в честь 24-й годовщины Октябрьской революции 1917 г. Командующий Западным фронтом, генерал Г.К. Жуков вспоминал, что парад сыграл «огромную роль в укреплении морального духа армии, советского народа и имел большое международное значение».</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7. Командующий группой армий «Центр» фельдмаршал Ф. фон Бок и другие представители высшего немецкого командования полагали, что взятие Москвы будет означать окончательную победу в войне. Скорейшее достижение этой победы было необходимо по причине превышения запланированных сроков войны и исчерпания выделенных ресурсов.</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Однако неспособность противника преодолеть советскую оборону и взять Москву привела к тому, что наступившая морозная погода в конце ноября – начале декабря 1941 г. снизила боеспособность немецких войск. Части группы «Центр» не имели достаточного запаса комплектов тёплого обмундирования. Вооружение и техника не были рассчитаны на использование при низких температурах окружающей среды. Личный состав немецкой армии не имел опыта ведения боевых действий в условиях морозов.</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center"/>
        <w:rPr>
          <w:rFonts w:ascii="Times New Roman" w:hAnsi="Times New Roman" w:cs="Times New Roman"/>
          <w:sz w:val="28"/>
          <w:szCs w:val="28"/>
          <w:lang w:val="ru-RU"/>
        </w:rPr>
      </w:pPr>
      <w:r>
        <w:rPr>
          <w:rFonts w:cs="Times New Roman" w:ascii="Times New Roman" w:hAnsi="Times New Roman"/>
          <w:sz w:val="28"/>
          <w:szCs w:val="28"/>
          <w:lang w:val="ru-RU"/>
        </w:rPr>
        <w:t>Победа под Москвой</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1. Генерал армии Георгий Константинович Жуков (1896–1974) – командующий Западным фронтом с 10 октября 1941 г. до августа 1942 г. В ходе Московской битвы Западный фронт проводил основные операции.</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Маршал Советского Союза Борис Михайлович Шапошников (1882–1945) – начальник Генерального штаба Красной Армии с июля 1941 г. до мая 1942 г. Генеральный штаб руководил общим ходом Московской битвы.</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 В ходе наступления под Москвой советским войскам пришлось преодолевать оборонительные линии противника, укреплённые проволочными заграждениями, минными полями и т. п. Трудности в продвижении создавал также глубокий снежный покров. Тем не менее, в декабре 1941 г. советским войскам удавалось продвигаться вперёд со средней скоростью до 10 км в сутки – вдвое быстрее, чем немецко-фашистским войскам в ноябре.</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pPr>
      <w:r>
        <w:rPr>
          <w:rFonts w:cs="Times New Roman" w:ascii="Times New Roman" w:hAnsi="Times New Roman"/>
          <w:sz w:val="28"/>
          <w:szCs w:val="28"/>
          <w:lang w:val="ru-RU"/>
        </w:rPr>
        <w:t>3. Уже в результате контрнаступления Красной Армии под Москвой к 5 января были освобождены 11 тыс. населённых пунктов. Среди них такие крупные, как:</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г. Алексин (Тульская обл.) – 17 декабря;</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пос. Одоево (Тульская обл.) – 22 декабря;</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г. Истра (Московская обл.) – 10 декабря;</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пос. Плавск (Тульская обл.) – 20 декабря;</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пос. Черепеть (Тульская обл.) – 22 декабря;</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г. Волоколамск (Московская обл.) – 20 декабря;</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г. Ливны (Орловская обл.) – 13 декабря;</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г. Сталиногорск (Тульская обл.) – 12 декабря;</w:t>
      </w:r>
    </w:p>
    <w:p>
      <w:pPr>
        <w:pStyle w:val="Normal"/>
        <w:spacing w:lineRule="auto" w:line="240" w:before="0" w:after="0"/>
        <w:ind w:firstLine="567"/>
        <w:jc w:val="both"/>
        <w:rPr/>
      </w:pPr>
      <w:r>
        <w:rPr>
          <w:rFonts w:cs="Times New Roman" w:ascii="Times New Roman" w:hAnsi="Times New Roman"/>
          <w:sz w:val="28"/>
          <w:szCs w:val="28"/>
          <w:lang w:val="ru-RU"/>
        </w:rPr>
        <w:t>пос. Щёкино (Тульская обл.) – 17 декабря;</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усадьба Ясная Поляна (Тульская обл.) – 15 декабря;</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г. Елец (Орловская обл.) – 9 декабря;</w:t>
      </w:r>
    </w:p>
    <w:p>
      <w:pPr>
        <w:pStyle w:val="Normal"/>
        <w:spacing w:lineRule="auto" w:line="240" w:before="0" w:after="0"/>
        <w:ind w:firstLine="567"/>
        <w:jc w:val="both"/>
        <w:rPr/>
      </w:pPr>
      <w:r>
        <w:rPr>
          <w:rFonts w:cs="Times New Roman" w:ascii="Times New Roman" w:hAnsi="Times New Roman"/>
          <w:sz w:val="28"/>
          <w:szCs w:val="28"/>
          <w:lang w:val="ru-RU"/>
        </w:rPr>
        <w:t>г. Наро-Фоминск к западу от р. Нара (Московская обл.) – 26 декабря;</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г. Узловая (Тульская обл.) – 14 декабря.</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4. Перед началом наступления Красной Армии линия фронта проходила по городам (с севера на юг): Калинин, Дмитров, пос. Кубинка (и г. Звенигород севернее), Наро-Фоминск, Серпухов, Тула, Елец.</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В наступлении участвовали (с севера на юг): Северо-Западный, Калининский, Западный, Брянский и Юго-Западный фронты. Общая численность задействованных советских войск к началу контрнаступления – более 1 млн чел., всего в наступлении – более 3,5 млн чел.</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5. В ходе наступления Красной Армии под Москвой немецкие войска на многих участках фронта отходили беспорядочно, бросая оружие, технику и автотранспорт. Британский министр иностранных дел А. Иден, прибывший в Москву на переговоры с И.В. Сталиным, 19 декабря 1941 г. посетил один из участков фронта в районе г. Клина. А. Иден был удивлён и поражён, увидев огромные колонны брошенных немцами автомашин и танков.</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6. За время немецко-фашистской оккупации только в Московской области были убиты 2 882 чел., насильно угнаны в немецкий тыл 3 607 чел. Сгорели до 2 тыс. сёл и деревень.</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7. Значение Московской битвы для истории Великой Отечественной войны заключается в следующем.</w:t>
      </w:r>
    </w:p>
    <w:p>
      <w:pPr>
        <w:pStyle w:val="Normal"/>
        <w:spacing w:lineRule="auto" w:line="240" w:before="0" w:after="0"/>
        <w:ind w:firstLine="567"/>
        <w:jc w:val="both"/>
        <w:rPr/>
      </w:pPr>
      <w:r>
        <w:rPr>
          <w:rFonts w:cs="Times New Roman" w:ascii="Times New Roman" w:hAnsi="Times New Roman"/>
          <w:sz w:val="28"/>
          <w:szCs w:val="28"/>
          <w:lang w:val="ru-RU"/>
        </w:rPr>
        <w:t xml:space="preserve">В ходе наступления Красной Армии немецко-фашистские войска потеряли инициативу в военных действиях не только на западном направлении, но на всей линии советско-германского фронта – были вынуждены лишь обороняться, но не наступать. </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Немецкая стратегия «молниеносной войны» («блицкриг») провалилась, так как главная цель кампании 1941 г. – взятие Москвы – не была достигнута. Война приняла затяжной характер, к ведению войны такого характера Германия не была готова.</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В затяжной войне преимущество оказалось на стороне СССР, так как его ресурсы превосходили ресурсы Германии. Следовательно, в Московской битве была заложена основа победы над Германией.</w:t>
      </w:r>
    </w:p>
    <w:p>
      <w:pPr>
        <w:pStyle w:val="Normal"/>
        <w:spacing w:lineRule="auto" w:line="240" w:before="0" w:after="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Победа Красной Армии в Московской битве показала мировому сообществу способность СССР победить в войне. Победа укрепила антифашистскую коалицию государств, ведущих войну против Германии.</w:t>
      </w:r>
    </w:p>
    <w:sectPr>
      <w:footerReference w:type="default" r:id="rId2"/>
      <w:type w:val="nextPage"/>
      <w:pgSz w:w="11906" w:h="16838"/>
      <w:pgMar w:left="1134" w:right="1134" w:header="0" w:top="1134" w:footer="720" w:bottom="113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200"/>
      <w:ind w:right="360" w:hanging="0"/>
      <w:rPr/>
    </w:pPr>
    <w:r>
      <w:rPr/>
    </w:r>
    <w:r>
      <mc:AlternateContent>
        <mc:Choice Requires="wps">
          <w:drawing>
            <wp:anchor behindDoc="0" distT="0" distB="0" distL="0" distR="0" simplePos="0" locked="0" layoutInCell="1" allowOverlap="1" relativeHeight="6">
              <wp:simplePos x="0" y="0"/>
              <wp:positionH relativeFrom="margin">
                <wp:align>right</wp:align>
              </wp:positionH>
              <wp:positionV relativeFrom="paragraph">
                <wp:posOffset>635</wp:posOffset>
              </wp:positionV>
              <wp:extent cx="78105" cy="163830"/>
              <wp:effectExtent l="0" t="0" r="0" b="0"/>
              <wp:wrapSquare wrapText="largest"/>
              <wp:docPr id="1" name="Врезка1"/>
              <a:graphic xmlns:a="http://schemas.openxmlformats.org/drawingml/2006/main">
                <a:graphicData uri="http://schemas.microsoft.com/office/word/2010/wordprocessingShape">
                  <wps:wsp>
                    <wps:cNvSpPr txBox="1"/>
                    <wps:spPr>
                      <a:xfrm>
                        <a:off x="0" y="0"/>
                        <a:ext cx="78105" cy="163830"/>
                      </a:xfrm>
                      <a:prstGeom prst="rect"/>
                      <a:solidFill>
                        <a:srgbClr val="FFFFFF">
                          <a:alpha val="0"/>
                        </a:srgbClr>
                      </a:solidFill>
                    </wps:spPr>
                    <wps:txbx>
                      <w:txbxContent>
                        <w:p>
                          <w:pPr>
                            <w:pStyle w:val="Style21"/>
                            <w:tabs>
                              <w:tab w:val="center" w:pos="4677" w:leader="none"/>
                              <w:tab w:val="right" w:pos="9355" w:leader="none"/>
                            </w:tabs>
                            <w:spacing w:before="0" w:after="200"/>
                            <w:rPr>
                              <w:rStyle w:val="Style15"/>
                            </w:rPr>
                          </w:pPr>
                          <w:r>
                            <w:rPr>
                              <w:rStyle w:val="Style15"/>
                            </w:rPr>
                            <w:fldChar w:fldCharType="begin"/>
                          </w:r>
                          <w:r>
                            <w:instrText> PAGE </w:instrText>
                          </w:r>
                          <w:r>
                            <w:fldChar w:fldCharType="separate"/>
                          </w:r>
                          <w:r>
                            <w:t>5</w:t>
                          </w:r>
                          <w:r>
                            <w:fldChar w:fldCharType="end"/>
                          </w:r>
                        </w:p>
                      </w:txbxContent>
                    </wps:txbx>
                    <wps:bodyPr anchor="t">
                      <a:noAutofit/>
                    </wps:bodyPr>
                  </wps:wsp>
                </a:graphicData>
              </a:graphic>
            </wp:anchor>
          </w:drawing>
        </mc:Choice>
        <mc:Fallback>
          <w:pict>
            <v:rect fillcolor="#FFFFFF" style="position:absolute;rotation:0;width:6.15pt;height:12.9pt;margin-top:0.05pt;mso-position-vertical-relative:text;margin-left:475.75pt;mso-position-horizontal:right;mso-position-horizontal-relative:margin">
              <v:fill opacity="0f"/>
              <v:textbox>
                <w:txbxContent>
                  <w:p>
                    <w:pPr>
                      <w:pStyle w:val="Style21"/>
                      <w:tabs>
                        <w:tab w:val="center" w:pos="4677" w:leader="none"/>
                        <w:tab w:val="right" w:pos="9355" w:leader="none"/>
                      </w:tabs>
                      <w:spacing w:before="0" w:after="200"/>
                      <w:rPr>
                        <w:rStyle w:val="Style15"/>
                      </w:rPr>
                    </w:pPr>
                    <w:r>
                      <w:rPr>
                        <w:rStyle w:val="Style15"/>
                      </w:rPr>
                      <w:fldChar w:fldCharType="begin"/>
                    </w:r>
                    <w:r>
                      <w:instrText> PAGE </w:instrText>
                    </w:r>
                    <w:r>
                      <w:fldChar w:fldCharType="separate"/>
                    </w:r>
                    <w:r>
                      <w:t>5</w:t>
                    </w:r>
                    <w: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isplayBackgroundShape/>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52" w:before="0" w:after="200"/>
    </w:pPr>
    <w:rPr>
      <w:rFonts w:ascii="Cambria" w:hAnsi="Cambria" w:eastAsia="Calibri" w:cs="Cambria"/>
      <w:color w:val="auto"/>
      <w:sz w:val="22"/>
      <w:szCs w:val="22"/>
      <w:lang w:val="en-US" w:bidi="en-US"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4">
    <w:name w:val="Основной шрифт абзаца"/>
    <w:qFormat/>
    <w:rPr/>
  </w:style>
  <w:style w:type="character" w:styleId="Style15">
    <w:name w:val="Номер страницы"/>
    <w:basedOn w:val="Style14"/>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Footer"/>
    <w:basedOn w:val="Normal"/>
    <w:pPr>
      <w:tabs>
        <w:tab w:val="center" w:pos="4677" w:leader="none"/>
        <w:tab w:val="right" w:pos="9355" w:leader="none"/>
      </w:tabs>
    </w:pPr>
    <w:rPr/>
  </w:style>
  <w:style w:type="paragraph" w:styleId="Style22">
    <w:name w:val="Содержимое врезки"/>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766</TotalTime>
  <Application>LibreOffice/5.2.3.3$Windows_x86 LibreOffice_project/d54a8868f08a7b39642414cf2c8ef2f228f780cf</Application>
  <Pages>5</Pages>
  <Words>1443</Words>
  <Characters>8761</Characters>
  <CharactersWithSpaces>10184</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2017-03-04T18:47:00Z</dcterms:created>
  <dc:creator>user</dc:creator>
  <dc:description/>
  <dc:language>ru-RU</dc:language>
  <cp:lastModifiedBy>Оксана Ю. Денисова</cp:lastModifiedBy>
  <dcterms:modified xsi:type="dcterms:W3CDTF">2018-09-14T16:25:00Z</dcterms:modified>
  <cp:revision>22</cp:revision>
  <dc:subject/>
  <dc:title>Перед участием в программе учителю рекомендуется повторить с участниками значение геометрических понятий «окружность», «дуга», «круг», «сектор», «градусная мера угла»</dc:title>
</cp:coreProperties>
</file>